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5F0F0980"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w:t>
      </w:r>
      <w:r w:rsidR="00272AE8">
        <w:rPr>
          <w:bCs/>
          <w:noProof w:val="0"/>
          <w:sz w:val="24"/>
          <w:szCs w:val="24"/>
        </w:rPr>
        <w:t>2</w:t>
      </w:r>
      <w:r w:rsidR="00C03B0B">
        <w:rPr>
          <w:bCs/>
          <w:noProof w:val="0"/>
          <w:sz w:val="24"/>
          <w:szCs w:val="24"/>
        </w:rPr>
        <w:t>bis</w:t>
      </w:r>
      <w:r w:rsidRPr="00BA0AE6">
        <w:rPr>
          <w:rFonts w:hint="eastAsia"/>
          <w:bCs/>
          <w:noProof w:val="0"/>
          <w:sz w:val="24"/>
          <w:szCs w:val="24"/>
        </w:rPr>
        <w:tab/>
      </w:r>
      <w:bookmarkStart w:id="0" w:name="_GoBack"/>
      <w:r w:rsidR="008A1746" w:rsidRPr="008A1746">
        <w:rPr>
          <w:bCs/>
          <w:noProof w:val="0"/>
          <w:sz w:val="24"/>
          <w:szCs w:val="24"/>
        </w:rPr>
        <w:t>R4-1911524</w:t>
      </w:r>
      <w:bookmarkEnd w:id="0"/>
    </w:p>
    <w:p w14:paraId="3C08E39A" w14:textId="77777777" w:rsidR="00C03B0B" w:rsidRPr="00C03B0B" w:rsidRDefault="00C03B0B" w:rsidP="00C03B0B">
      <w:pPr>
        <w:pStyle w:val="Header"/>
        <w:tabs>
          <w:tab w:val="right" w:pos="9639"/>
        </w:tabs>
        <w:rPr>
          <w:bCs/>
          <w:noProof w:val="0"/>
          <w:sz w:val="24"/>
          <w:szCs w:val="24"/>
        </w:rPr>
      </w:pPr>
      <w:r w:rsidRPr="00C03B0B">
        <w:rPr>
          <w:bCs/>
          <w:noProof w:val="0"/>
          <w:sz w:val="24"/>
          <w:szCs w:val="24"/>
        </w:rPr>
        <w:t>Chongqing, China, 14th</w:t>
      </w:r>
      <w:r w:rsidRPr="00C03B0B">
        <w:rPr>
          <w:rFonts w:hint="eastAsia"/>
          <w:bCs/>
          <w:noProof w:val="0"/>
          <w:sz w:val="24"/>
          <w:szCs w:val="24"/>
        </w:rPr>
        <w:t xml:space="preserve"> </w:t>
      </w:r>
      <w:r w:rsidRPr="00C03B0B">
        <w:rPr>
          <w:bCs/>
          <w:noProof w:val="0"/>
          <w:sz w:val="24"/>
          <w:szCs w:val="24"/>
        </w:rPr>
        <w:t>–</w:t>
      </w:r>
      <w:r w:rsidRPr="00C03B0B">
        <w:rPr>
          <w:rFonts w:hint="eastAsia"/>
          <w:bCs/>
          <w:noProof w:val="0"/>
          <w:sz w:val="24"/>
          <w:szCs w:val="24"/>
        </w:rPr>
        <w:t xml:space="preserve"> </w:t>
      </w:r>
      <w:r w:rsidRPr="00C03B0B">
        <w:rPr>
          <w:bCs/>
          <w:noProof w:val="0"/>
          <w:sz w:val="24"/>
          <w:szCs w:val="24"/>
        </w:rPr>
        <w:t xml:space="preserve">18th </w:t>
      </w:r>
      <w:proofErr w:type="gramStart"/>
      <w:r w:rsidRPr="00C03B0B">
        <w:rPr>
          <w:bCs/>
          <w:noProof w:val="0"/>
          <w:sz w:val="24"/>
          <w:szCs w:val="24"/>
        </w:rPr>
        <w:t>Oct,</w:t>
      </w:r>
      <w:proofErr w:type="gramEnd"/>
      <w:r w:rsidRPr="00C03B0B">
        <w:rPr>
          <w:bCs/>
          <w:noProof w:val="0"/>
          <w:sz w:val="24"/>
          <w:szCs w:val="24"/>
        </w:rPr>
        <w:t xml:space="preserve"> 2019</w:t>
      </w:r>
    </w:p>
    <w:p w14:paraId="22C1D648" w14:textId="77777777" w:rsidR="00BA0AE6" w:rsidRPr="00C03B0B" w:rsidRDefault="00BA0AE6" w:rsidP="00CA26CE">
      <w:pPr>
        <w:pStyle w:val="Header"/>
        <w:rPr>
          <w:bCs/>
          <w:noProof w:val="0"/>
          <w:sz w:val="24"/>
          <w:lang w:eastAsia="ja-JP"/>
        </w:rPr>
      </w:pPr>
    </w:p>
    <w:p w14:paraId="531FF901" w14:textId="77777777" w:rsidR="00A856B8" w:rsidRPr="00841BCD" w:rsidRDefault="00A856B8" w:rsidP="00A856B8">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0CA07CB3" w14:textId="65131E04" w:rsidR="00A856B8" w:rsidRPr="004018A5" w:rsidRDefault="00A856B8" w:rsidP="00A856B8">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8A1746" w:rsidRPr="008A1746">
        <w:rPr>
          <w:rFonts w:ascii="Arial" w:eastAsia="Calibri" w:hAnsi="Arial" w:cs="Arial"/>
          <w:b/>
          <w:bCs/>
          <w:sz w:val="24"/>
        </w:rPr>
        <w:t>On network control in context of Tx power boost during suspended IBE</w:t>
      </w:r>
    </w:p>
    <w:p w14:paraId="03DC90A2" w14:textId="79A1558C" w:rsidR="00A856B8" w:rsidRPr="004018A5" w:rsidRDefault="00A856B8" w:rsidP="00A856B8">
      <w:pPr>
        <w:tabs>
          <w:tab w:val="left" w:pos="1985"/>
        </w:tabs>
        <w:spacing w:after="120"/>
        <w:rPr>
          <w:rFonts w:ascii="Arial" w:eastAsia="MS Mincho" w:hAnsi="Arial" w:cs="Arial"/>
          <w:b/>
          <w:bCs/>
          <w:sz w:val="24"/>
        </w:rPr>
      </w:pPr>
      <w:r w:rsidRPr="004018A5">
        <w:rPr>
          <w:rFonts w:ascii="Arial" w:eastAsia="MS Mincho" w:hAnsi="Arial" w:cs="Arial"/>
          <w:b/>
          <w:bCs/>
          <w:sz w:val="24"/>
        </w:rPr>
        <w:t>Agenda item:</w:t>
      </w:r>
      <w:r w:rsidRPr="004018A5">
        <w:rPr>
          <w:rFonts w:ascii="Arial" w:eastAsia="MS Mincho" w:hAnsi="Arial" w:cs="Arial"/>
          <w:b/>
          <w:bCs/>
          <w:sz w:val="24"/>
        </w:rPr>
        <w:tab/>
      </w:r>
      <w:r w:rsidR="008A1746">
        <w:rPr>
          <w:rFonts w:ascii="Arial" w:eastAsia="MS Mincho" w:hAnsi="Arial" w:cs="Arial"/>
          <w:b/>
          <w:bCs/>
          <w:sz w:val="24"/>
        </w:rPr>
        <w:t>8.14.9</w:t>
      </w:r>
    </w:p>
    <w:p w14:paraId="30E02944" w14:textId="297378B0" w:rsidR="0034111C" w:rsidRPr="0016316A" w:rsidRDefault="00A856B8" w:rsidP="16512788">
      <w:pPr>
        <w:rPr>
          <w:rFonts w:ascii="Arial" w:hAnsi="Arial" w:cs="Arial"/>
          <w:b/>
          <w:bCs/>
          <w:sz w:val="24"/>
          <w:szCs w:val="24"/>
        </w:rPr>
      </w:pPr>
      <w:r w:rsidRPr="004018A5">
        <w:rPr>
          <w:rFonts w:ascii="Arial" w:eastAsia="Calibri" w:hAnsi="Arial" w:cs="Arial"/>
          <w:b/>
          <w:bCs/>
          <w:sz w:val="24"/>
        </w:rPr>
        <w:t>Document for:</w:t>
      </w:r>
      <w:r w:rsidRPr="004018A5">
        <w:rPr>
          <w:rFonts w:ascii="Arial" w:eastAsia="Calibri" w:hAnsi="Arial" w:cs="Arial"/>
          <w:b/>
          <w:bCs/>
          <w:sz w:val="24"/>
        </w:rPr>
        <w:tab/>
      </w:r>
      <w:r>
        <w:rPr>
          <w:rFonts w:eastAsia="Calibri" w:cs="Arial"/>
          <w:b/>
          <w:bCs/>
          <w:sz w:val="24"/>
        </w:rPr>
        <w:tab/>
      </w:r>
      <w:r w:rsidR="000C04B5">
        <w:rPr>
          <w:rFonts w:ascii="Arial" w:eastAsia="Calibri" w:hAnsi="Arial" w:cs="Arial"/>
          <w:b/>
          <w:bCs/>
          <w:sz w:val="24"/>
        </w:rPr>
        <w:t>Approval</w:t>
      </w:r>
    </w:p>
    <w:p w14:paraId="6DDF81FD" w14:textId="77777777" w:rsidR="00255033" w:rsidRPr="00ED1327" w:rsidRDefault="00255033" w:rsidP="00255033">
      <w:pPr>
        <w:pStyle w:val="Heading1"/>
      </w:pPr>
      <w:r w:rsidRPr="0016316A">
        <w:t>Introduction</w:t>
      </w:r>
    </w:p>
    <w:p w14:paraId="52C7D63D" w14:textId="08E674BA" w:rsidR="00723C9F" w:rsidRDefault="00EF3E33" w:rsidP="00CD30D3">
      <w:r>
        <w:t xml:space="preserve">In this contribution we discuss </w:t>
      </w:r>
      <w:r w:rsidRPr="00EF3E33">
        <w:t xml:space="preserve">network control in context of Tx power boost during suspended </w:t>
      </w:r>
      <w:r>
        <w:t>in-band emissions.</w:t>
      </w:r>
    </w:p>
    <w:p w14:paraId="52604890" w14:textId="77777777" w:rsidR="00723C9F" w:rsidRDefault="00723C9F" w:rsidP="00723C9F">
      <w:pPr>
        <w:pStyle w:val="Heading1"/>
        <w:rPr>
          <w:lang w:val="en-US"/>
        </w:rPr>
      </w:pPr>
      <w:r>
        <w:rPr>
          <w:lang w:val="en-US"/>
        </w:rPr>
        <w:t>Discussion</w:t>
      </w:r>
    </w:p>
    <w:p w14:paraId="5C1CAC56" w14:textId="394030A0" w:rsidR="008A1746" w:rsidRDefault="00ED7CE7" w:rsidP="00804DF4">
      <w:pPr>
        <w:tabs>
          <w:tab w:val="num" w:pos="720"/>
          <w:tab w:val="num" w:pos="1440"/>
        </w:tabs>
        <w:rPr>
          <w:lang w:val="en-US" w:eastAsia="ko-KR"/>
        </w:rPr>
      </w:pPr>
      <w:r>
        <w:rPr>
          <w:lang w:val="en-US" w:eastAsia="ko-KR"/>
        </w:rPr>
        <w:t xml:space="preserve">In the RAN4 last meeting it was proposed </w:t>
      </w:r>
      <w:r w:rsidR="00EF3E33">
        <w:rPr>
          <w:lang w:val="en-US" w:eastAsia="ko-KR"/>
        </w:rPr>
        <w:t xml:space="preserve">e.g. in [1] </w:t>
      </w:r>
      <w:r>
        <w:rPr>
          <w:lang w:val="en-US" w:eastAsia="ko-KR"/>
        </w:rPr>
        <w:t xml:space="preserve">that UE Tx power could be boosted at cost of in-band emission requirements. UE Tx power boost would help with NR UL coverage. We also see that </w:t>
      </w:r>
      <w:proofErr w:type="spellStart"/>
      <w:r>
        <w:rPr>
          <w:lang w:val="en-US" w:eastAsia="ko-KR"/>
        </w:rPr>
        <w:t>theree</w:t>
      </w:r>
      <w:proofErr w:type="spellEnd"/>
      <w:r>
        <w:rPr>
          <w:lang w:val="en-US" w:eastAsia="ko-KR"/>
        </w:rPr>
        <w:t xml:space="preserve"> are number of cases where it would also be acceptable from the system performance perspective that the UE does not meet the in-band emission requirements for achieving higher Tx power and thus, better UL coverage. However, there are also deployment cases where it is important that the UE meets the in-band emission requirements to avoid creating interference for other </w:t>
      </w:r>
      <w:proofErr w:type="spellStart"/>
      <w:r>
        <w:rPr>
          <w:lang w:val="en-US" w:eastAsia="ko-KR"/>
        </w:rPr>
        <w:t>neighbouring</w:t>
      </w:r>
      <w:proofErr w:type="spellEnd"/>
      <w:r>
        <w:rPr>
          <w:lang w:val="en-US" w:eastAsia="ko-KR"/>
        </w:rPr>
        <w:t xml:space="preserve"> UEs on the same carrier. For instance, if some of the UEs on a given carrier have URLLC type of traffic, it is important that other UEs are not creating additional interference by not meeting the in-band emission requirements. For this reason, we see that it is important that the network </w:t>
      </w:r>
      <w:proofErr w:type="gramStart"/>
      <w:r>
        <w:rPr>
          <w:lang w:val="en-US" w:eastAsia="ko-KR"/>
        </w:rPr>
        <w:t>is able to</w:t>
      </w:r>
      <w:proofErr w:type="gramEnd"/>
      <w:r>
        <w:rPr>
          <w:lang w:val="en-US" w:eastAsia="ko-KR"/>
        </w:rPr>
        <w:t xml:space="preserve"> control when and if the UE is allowed to boost its Tx power by not meeting its in-band emission requirements.</w:t>
      </w:r>
      <w:r w:rsidR="00EF3E33">
        <w:rPr>
          <w:lang w:val="en-US" w:eastAsia="ko-KR"/>
        </w:rPr>
        <w:t xml:space="preserve"> Once further details of the new requirements are developed RAN4 should indicate to RAN2 that this new FR2 UE Tx power boost requires network control and therefore related signaling support like RRC signaling.</w:t>
      </w:r>
    </w:p>
    <w:p w14:paraId="42B1B927" w14:textId="2F6BB300" w:rsidR="00ED7CE7" w:rsidRPr="007C7EA0" w:rsidRDefault="00ED7CE7" w:rsidP="00804DF4">
      <w:pPr>
        <w:tabs>
          <w:tab w:val="num" w:pos="720"/>
          <w:tab w:val="num" w:pos="1440"/>
        </w:tabs>
        <w:rPr>
          <w:b/>
          <w:lang w:val="en-US" w:eastAsia="ko-KR"/>
        </w:rPr>
      </w:pPr>
      <w:r w:rsidRPr="007C7EA0">
        <w:rPr>
          <w:b/>
          <w:lang w:val="en-US" w:eastAsia="ko-KR"/>
        </w:rPr>
        <w:t xml:space="preserve">Proposal 1: The network controls </w:t>
      </w:r>
      <w:r w:rsidR="002860AE">
        <w:rPr>
          <w:b/>
          <w:lang w:val="en-US" w:eastAsia="ko-KR"/>
        </w:rPr>
        <w:t>if</w:t>
      </w:r>
      <w:r w:rsidRPr="007C7EA0">
        <w:rPr>
          <w:b/>
          <w:lang w:val="en-US" w:eastAsia="ko-KR"/>
        </w:rPr>
        <w:t xml:space="preserve"> the UE </w:t>
      </w:r>
      <w:proofErr w:type="gramStart"/>
      <w:r w:rsidRPr="007C7EA0">
        <w:rPr>
          <w:b/>
          <w:lang w:val="en-US" w:eastAsia="ko-KR"/>
        </w:rPr>
        <w:t>is allowed to</w:t>
      </w:r>
      <w:proofErr w:type="gramEnd"/>
      <w:r w:rsidRPr="007C7EA0">
        <w:rPr>
          <w:b/>
          <w:lang w:val="en-US" w:eastAsia="ko-KR"/>
        </w:rPr>
        <w:t xml:space="preserve"> boost its </w:t>
      </w:r>
      <w:r w:rsidR="007C7EA0" w:rsidRPr="007C7EA0">
        <w:rPr>
          <w:b/>
          <w:lang w:val="en-US" w:eastAsia="ko-KR"/>
        </w:rPr>
        <w:t>Tx power by not meeting the in-band emission requirements.</w:t>
      </w:r>
    </w:p>
    <w:p w14:paraId="487DD0C7" w14:textId="4D2E1025" w:rsidR="007C7EA0" w:rsidRDefault="00EF3E33" w:rsidP="00804DF4">
      <w:pPr>
        <w:tabs>
          <w:tab w:val="num" w:pos="720"/>
          <w:tab w:val="num" w:pos="1440"/>
        </w:tabs>
        <w:rPr>
          <w:lang w:val="en-US" w:eastAsia="ko-KR"/>
        </w:rPr>
      </w:pPr>
      <w:r>
        <w:rPr>
          <w:lang w:val="en-US" w:eastAsia="ko-KR"/>
        </w:rPr>
        <w:t xml:space="preserve">When the UE does not meet the in-band emission requirements (controlled by the network), the UE needs to meet new more stringent UE Tx power requirements to justify this in-band relaxation. </w:t>
      </w:r>
    </w:p>
    <w:p w14:paraId="6ED43D85" w14:textId="3723D19B" w:rsidR="007A49F4" w:rsidRPr="00C03E3F" w:rsidRDefault="00221C9F" w:rsidP="007A49F4">
      <w:pPr>
        <w:pStyle w:val="Heading1"/>
        <w:rPr>
          <w:lang w:val="en-US"/>
        </w:rPr>
      </w:pPr>
      <w:r>
        <w:rPr>
          <w:lang w:val="en-US"/>
        </w:rPr>
        <w:t>Conclusions</w:t>
      </w:r>
    </w:p>
    <w:p w14:paraId="190A705F" w14:textId="26B20711" w:rsidR="00EF3E33" w:rsidRDefault="00EF3E33" w:rsidP="00EF3E33">
      <w:r>
        <w:t xml:space="preserve">In this contribution we have discussed </w:t>
      </w:r>
      <w:r w:rsidRPr="00EF3E33">
        <w:t xml:space="preserve">network control in context of Tx power boost during suspended </w:t>
      </w:r>
      <w:r>
        <w:t>in-band emissions and we propose the following;</w:t>
      </w:r>
    </w:p>
    <w:p w14:paraId="3E313C70" w14:textId="77777777" w:rsidR="00EF3E33" w:rsidRPr="007C7EA0" w:rsidRDefault="00EF3E33" w:rsidP="00EF3E33">
      <w:pPr>
        <w:tabs>
          <w:tab w:val="num" w:pos="720"/>
          <w:tab w:val="num" w:pos="1440"/>
        </w:tabs>
        <w:rPr>
          <w:b/>
          <w:lang w:val="en-US" w:eastAsia="ko-KR"/>
        </w:rPr>
      </w:pPr>
      <w:r w:rsidRPr="007C7EA0">
        <w:rPr>
          <w:b/>
          <w:lang w:val="en-US" w:eastAsia="ko-KR"/>
        </w:rPr>
        <w:t xml:space="preserve">Proposal 1: The network controls </w:t>
      </w:r>
      <w:r>
        <w:rPr>
          <w:b/>
          <w:lang w:val="en-US" w:eastAsia="ko-KR"/>
        </w:rPr>
        <w:t>if</w:t>
      </w:r>
      <w:r w:rsidRPr="007C7EA0">
        <w:rPr>
          <w:b/>
          <w:lang w:val="en-US" w:eastAsia="ko-KR"/>
        </w:rPr>
        <w:t xml:space="preserve"> the UE </w:t>
      </w:r>
      <w:proofErr w:type="gramStart"/>
      <w:r w:rsidRPr="007C7EA0">
        <w:rPr>
          <w:b/>
          <w:lang w:val="en-US" w:eastAsia="ko-KR"/>
        </w:rPr>
        <w:t>is allowed to</w:t>
      </w:r>
      <w:proofErr w:type="gramEnd"/>
      <w:r w:rsidRPr="007C7EA0">
        <w:rPr>
          <w:b/>
          <w:lang w:val="en-US" w:eastAsia="ko-KR"/>
        </w:rPr>
        <w:t xml:space="preserve"> boost its Tx power by not meeting the in-band emission requirements.</w:t>
      </w:r>
    </w:p>
    <w:p w14:paraId="53CD9119" w14:textId="77777777" w:rsidR="00885580" w:rsidRPr="00ED1327" w:rsidRDefault="00885580" w:rsidP="00885580">
      <w:pPr>
        <w:pStyle w:val="Heading1"/>
        <w:numPr>
          <w:ilvl w:val="0"/>
          <w:numId w:val="0"/>
        </w:numPr>
      </w:pPr>
      <w:r>
        <w:t>References</w:t>
      </w:r>
    </w:p>
    <w:p w14:paraId="20653708" w14:textId="312B809A" w:rsidR="00EF3E33" w:rsidRDefault="00EF3E33" w:rsidP="00EF3E33">
      <w:r>
        <w:t xml:space="preserve">[1] </w:t>
      </w:r>
      <w:r w:rsidRPr="00161CE8">
        <w:t>R4-1909927</w:t>
      </w:r>
      <w:r w:rsidRPr="00161CE8">
        <w:tab/>
        <w:t>Power Boost and IBE in FR2, R4 #92, Qualcomm.</w:t>
      </w:r>
    </w:p>
    <w:p w14:paraId="7FFC7C53" w14:textId="6F10BBF5" w:rsidR="002140DE" w:rsidRPr="000D7F54" w:rsidRDefault="002140DE" w:rsidP="008C0674"/>
    <w:sectPr w:rsidR="002140DE" w:rsidRPr="000D7F5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421D9" w14:textId="77777777" w:rsidR="00A8264D" w:rsidRDefault="00A8264D">
      <w:r>
        <w:separator/>
      </w:r>
    </w:p>
  </w:endnote>
  <w:endnote w:type="continuationSeparator" w:id="0">
    <w:p w14:paraId="26B683C1" w14:textId="77777777" w:rsidR="00A8264D" w:rsidRDefault="00A8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B7F92" w14:textId="77777777" w:rsidR="00A8264D" w:rsidRDefault="00A8264D">
      <w:r>
        <w:separator/>
      </w:r>
    </w:p>
  </w:footnote>
  <w:footnote w:type="continuationSeparator" w:id="0">
    <w:p w14:paraId="3083F597" w14:textId="77777777" w:rsidR="00A8264D" w:rsidRDefault="00A82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F368EC"/>
    <w:multiLevelType w:val="hybridMultilevel"/>
    <w:tmpl w:val="52C85D10"/>
    <w:lvl w:ilvl="0" w:tplc="13A0597C">
      <w:start w:val="7"/>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CF4B76"/>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4E0972"/>
    <w:multiLevelType w:val="hybridMultilevel"/>
    <w:tmpl w:val="1222FE6C"/>
    <w:lvl w:ilvl="0" w:tplc="FEE2EBA8">
      <w:start w:val="1"/>
      <w:numFmt w:val="bullet"/>
      <w:lvlText w:val="•"/>
      <w:lvlJc w:val="left"/>
      <w:pPr>
        <w:tabs>
          <w:tab w:val="num" w:pos="720"/>
        </w:tabs>
        <w:ind w:left="720" w:hanging="360"/>
      </w:pPr>
      <w:rPr>
        <w:rFonts w:ascii="Arial" w:hAnsi="Arial" w:hint="default"/>
      </w:rPr>
    </w:lvl>
    <w:lvl w:ilvl="1" w:tplc="426E03FE">
      <w:start w:val="35"/>
      <w:numFmt w:val="bullet"/>
      <w:lvlText w:val=""/>
      <w:lvlJc w:val="left"/>
      <w:pPr>
        <w:tabs>
          <w:tab w:val="num" w:pos="1440"/>
        </w:tabs>
        <w:ind w:left="1440" w:hanging="360"/>
      </w:pPr>
      <w:rPr>
        <w:rFonts w:ascii="Wingdings" w:hAnsi="Wingdings" w:hint="default"/>
      </w:rPr>
    </w:lvl>
    <w:lvl w:ilvl="2" w:tplc="9DD0BDF8" w:tentative="1">
      <w:start w:val="1"/>
      <w:numFmt w:val="bullet"/>
      <w:lvlText w:val="•"/>
      <w:lvlJc w:val="left"/>
      <w:pPr>
        <w:tabs>
          <w:tab w:val="num" w:pos="2160"/>
        </w:tabs>
        <w:ind w:left="2160" w:hanging="360"/>
      </w:pPr>
      <w:rPr>
        <w:rFonts w:ascii="Arial" w:hAnsi="Arial" w:hint="default"/>
      </w:rPr>
    </w:lvl>
    <w:lvl w:ilvl="3" w:tplc="711A6802" w:tentative="1">
      <w:start w:val="1"/>
      <w:numFmt w:val="bullet"/>
      <w:lvlText w:val="•"/>
      <w:lvlJc w:val="left"/>
      <w:pPr>
        <w:tabs>
          <w:tab w:val="num" w:pos="2880"/>
        </w:tabs>
        <w:ind w:left="2880" w:hanging="360"/>
      </w:pPr>
      <w:rPr>
        <w:rFonts w:ascii="Arial" w:hAnsi="Arial" w:hint="default"/>
      </w:rPr>
    </w:lvl>
    <w:lvl w:ilvl="4" w:tplc="6D282A20" w:tentative="1">
      <w:start w:val="1"/>
      <w:numFmt w:val="bullet"/>
      <w:lvlText w:val="•"/>
      <w:lvlJc w:val="left"/>
      <w:pPr>
        <w:tabs>
          <w:tab w:val="num" w:pos="3600"/>
        </w:tabs>
        <w:ind w:left="3600" w:hanging="360"/>
      </w:pPr>
      <w:rPr>
        <w:rFonts w:ascii="Arial" w:hAnsi="Arial" w:hint="default"/>
      </w:rPr>
    </w:lvl>
    <w:lvl w:ilvl="5" w:tplc="579423E6" w:tentative="1">
      <w:start w:val="1"/>
      <w:numFmt w:val="bullet"/>
      <w:lvlText w:val="•"/>
      <w:lvlJc w:val="left"/>
      <w:pPr>
        <w:tabs>
          <w:tab w:val="num" w:pos="4320"/>
        </w:tabs>
        <w:ind w:left="4320" w:hanging="360"/>
      </w:pPr>
      <w:rPr>
        <w:rFonts w:ascii="Arial" w:hAnsi="Arial" w:hint="default"/>
      </w:rPr>
    </w:lvl>
    <w:lvl w:ilvl="6" w:tplc="8CFC04AA" w:tentative="1">
      <w:start w:val="1"/>
      <w:numFmt w:val="bullet"/>
      <w:lvlText w:val="•"/>
      <w:lvlJc w:val="left"/>
      <w:pPr>
        <w:tabs>
          <w:tab w:val="num" w:pos="5040"/>
        </w:tabs>
        <w:ind w:left="5040" w:hanging="360"/>
      </w:pPr>
      <w:rPr>
        <w:rFonts w:ascii="Arial" w:hAnsi="Arial" w:hint="default"/>
      </w:rPr>
    </w:lvl>
    <w:lvl w:ilvl="7" w:tplc="3488CDD0" w:tentative="1">
      <w:start w:val="1"/>
      <w:numFmt w:val="bullet"/>
      <w:lvlText w:val="•"/>
      <w:lvlJc w:val="left"/>
      <w:pPr>
        <w:tabs>
          <w:tab w:val="num" w:pos="5760"/>
        </w:tabs>
        <w:ind w:left="5760" w:hanging="360"/>
      </w:pPr>
      <w:rPr>
        <w:rFonts w:ascii="Arial" w:hAnsi="Arial" w:hint="default"/>
      </w:rPr>
    </w:lvl>
    <w:lvl w:ilvl="8" w:tplc="4CC45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962D7A"/>
    <w:multiLevelType w:val="hybridMultilevel"/>
    <w:tmpl w:val="DDFED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C740F"/>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0169E3"/>
    <w:multiLevelType w:val="hybridMultilevel"/>
    <w:tmpl w:val="78EEC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CB110A"/>
    <w:multiLevelType w:val="hybridMultilevel"/>
    <w:tmpl w:val="D71A8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08E60E5"/>
    <w:multiLevelType w:val="hybridMultilevel"/>
    <w:tmpl w:val="07F83262"/>
    <w:lvl w:ilvl="0" w:tplc="8518581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A44F2E"/>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873B0D"/>
    <w:multiLevelType w:val="hybridMultilevel"/>
    <w:tmpl w:val="547EF982"/>
    <w:lvl w:ilvl="0" w:tplc="A85C41BC">
      <w:start w:val="1"/>
      <w:numFmt w:val="bullet"/>
      <w:lvlText w:val="•"/>
      <w:lvlJc w:val="left"/>
      <w:pPr>
        <w:tabs>
          <w:tab w:val="num" w:pos="720"/>
        </w:tabs>
        <w:ind w:left="720" w:hanging="360"/>
      </w:pPr>
      <w:rPr>
        <w:rFonts w:ascii="Arial" w:hAnsi="Arial" w:hint="default"/>
      </w:rPr>
    </w:lvl>
    <w:lvl w:ilvl="1" w:tplc="52D4191E">
      <w:start w:val="33"/>
      <w:numFmt w:val="bullet"/>
      <w:lvlText w:val=""/>
      <w:lvlJc w:val="left"/>
      <w:pPr>
        <w:tabs>
          <w:tab w:val="num" w:pos="1440"/>
        </w:tabs>
        <w:ind w:left="1440" w:hanging="360"/>
      </w:pPr>
      <w:rPr>
        <w:rFonts w:ascii="Wingdings" w:hAnsi="Wingdings" w:hint="default"/>
      </w:rPr>
    </w:lvl>
    <w:lvl w:ilvl="2" w:tplc="D8E668DC" w:tentative="1">
      <w:start w:val="1"/>
      <w:numFmt w:val="bullet"/>
      <w:lvlText w:val="•"/>
      <w:lvlJc w:val="left"/>
      <w:pPr>
        <w:tabs>
          <w:tab w:val="num" w:pos="2160"/>
        </w:tabs>
        <w:ind w:left="2160" w:hanging="360"/>
      </w:pPr>
      <w:rPr>
        <w:rFonts w:ascii="Arial" w:hAnsi="Arial" w:hint="default"/>
      </w:rPr>
    </w:lvl>
    <w:lvl w:ilvl="3" w:tplc="2FCAB8D2" w:tentative="1">
      <w:start w:val="1"/>
      <w:numFmt w:val="bullet"/>
      <w:lvlText w:val="•"/>
      <w:lvlJc w:val="left"/>
      <w:pPr>
        <w:tabs>
          <w:tab w:val="num" w:pos="2880"/>
        </w:tabs>
        <w:ind w:left="2880" w:hanging="360"/>
      </w:pPr>
      <w:rPr>
        <w:rFonts w:ascii="Arial" w:hAnsi="Arial" w:hint="default"/>
      </w:rPr>
    </w:lvl>
    <w:lvl w:ilvl="4" w:tplc="F1DE7342" w:tentative="1">
      <w:start w:val="1"/>
      <w:numFmt w:val="bullet"/>
      <w:lvlText w:val="•"/>
      <w:lvlJc w:val="left"/>
      <w:pPr>
        <w:tabs>
          <w:tab w:val="num" w:pos="3600"/>
        </w:tabs>
        <w:ind w:left="3600" w:hanging="360"/>
      </w:pPr>
      <w:rPr>
        <w:rFonts w:ascii="Arial" w:hAnsi="Arial" w:hint="default"/>
      </w:rPr>
    </w:lvl>
    <w:lvl w:ilvl="5" w:tplc="3B5C8476" w:tentative="1">
      <w:start w:val="1"/>
      <w:numFmt w:val="bullet"/>
      <w:lvlText w:val="•"/>
      <w:lvlJc w:val="left"/>
      <w:pPr>
        <w:tabs>
          <w:tab w:val="num" w:pos="4320"/>
        </w:tabs>
        <w:ind w:left="4320" w:hanging="360"/>
      </w:pPr>
      <w:rPr>
        <w:rFonts w:ascii="Arial" w:hAnsi="Arial" w:hint="default"/>
      </w:rPr>
    </w:lvl>
    <w:lvl w:ilvl="6" w:tplc="00AAE964" w:tentative="1">
      <w:start w:val="1"/>
      <w:numFmt w:val="bullet"/>
      <w:lvlText w:val="•"/>
      <w:lvlJc w:val="left"/>
      <w:pPr>
        <w:tabs>
          <w:tab w:val="num" w:pos="5040"/>
        </w:tabs>
        <w:ind w:left="5040" w:hanging="360"/>
      </w:pPr>
      <w:rPr>
        <w:rFonts w:ascii="Arial" w:hAnsi="Arial" w:hint="default"/>
      </w:rPr>
    </w:lvl>
    <w:lvl w:ilvl="7" w:tplc="3A1EF04A" w:tentative="1">
      <w:start w:val="1"/>
      <w:numFmt w:val="bullet"/>
      <w:lvlText w:val="•"/>
      <w:lvlJc w:val="left"/>
      <w:pPr>
        <w:tabs>
          <w:tab w:val="num" w:pos="5760"/>
        </w:tabs>
        <w:ind w:left="5760" w:hanging="360"/>
      </w:pPr>
      <w:rPr>
        <w:rFonts w:ascii="Arial" w:hAnsi="Arial" w:hint="default"/>
      </w:rPr>
    </w:lvl>
    <w:lvl w:ilvl="8" w:tplc="ED928BC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C8E567F"/>
    <w:multiLevelType w:val="hybridMultilevel"/>
    <w:tmpl w:val="809AF83A"/>
    <w:lvl w:ilvl="0" w:tplc="13A0597C">
      <w:start w:val="7"/>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81920C8"/>
    <w:multiLevelType w:val="hybridMultilevel"/>
    <w:tmpl w:val="A1FE19EA"/>
    <w:lvl w:ilvl="0" w:tplc="8E1EA276">
      <w:start w:val="1"/>
      <w:numFmt w:val="decimal"/>
      <w:lvlText w:val="[%1]"/>
      <w:lvlJc w:val="left"/>
      <w:pPr>
        <w:ind w:left="117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1"/>
  </w:num>
  <w:num w:numId="4">
    <w:abstractNumId w:val="8"/>
  </w:num>
  <w:num w:numId="5">
    <w:abstractNumId w:val="21"/>
  </w:num>
  <w:num w:numId="6">
    <w:abstractNumId w:val="39"/>
  </w:num>
  <w:num w:numId="7">
    <w:abstractNumId w:val="23"/>
  </w:num>
  <w:num w:numId="8">
    <w:abstractNumId w:val="19"/>
  </w:num>
  <w:num w:numId="9">
    <w:abstractNumId w:val="52"/>
  </w:num>
  <w:num w:numId="10">
    <w:abstractNumId w:val="11"/>
  </w:num>
  <w:num w:numId="11">
    <w:abstractNumId w:val="24"/>
  </w:num>
  <w:num w:numId="12">
    <w:abstractNumId w:val="10"/>
  </w:num>
  <w:num w:numId="13">
    <w:abstractNumId w:val="17"/>
  </w:num>
  <w:num w:numId="14">
    <w:abstractNumId w:val="29"/>
  </w:num>
  <w:num w:numId="15">
    <w:abstractNumId w:val="17"/>
  </w:num>
  <w:num w:numId="16">
    <w:abstractNumId w:val="30"/>
  </w:num>
  <w:num w:numId="17">
    <w:abstractNumId w:val="15"/>
  </w:num>
  <w:num w:numId="18">
    <w:abstractNumId w:val="7"/>
  </w:num>
  <w:num w:numId="19">
    <w:abstractNumId w:val="17"/>
  </w:num>
  <w:num w:numId="20">
    <w:abstractNumId w:val="17"/>
  </w:num>
  <w:num w:numId="21">
    <w:abstractNumId w:val="33"/>
  </w:num>
  <w:num w:numId="22">
    <w:abstractNumId w:val="34"/>
  </w:num>
  <w:num w:numId="23">
    <w:abstractNumId w:val="20"/>
  </w:num>
  <w:num w:numId="24">
    <w:abstractNumId w:val="31"/>
  </w:num>
  <w:num w:numId="25">
    <w:abstractNumId w:val="14"/>
  </w:num>
  <w:num w:numId="26">
    <w:abstractNumId w:val="5"/>
  </w:num>
  <w:num w:numId="27">
    <w:abstractNumId w:val="54"/>
  </w:num>
  <w:num w:numId="28">
    <w:abstractNumId w:val="46"/>
  </w:num>
  <w:num w:numId="29">
    <w:abstractNumId w:val="53"/>
  </w:num>
  <w:num w:numId="30">
    <w:abstractNumId w:val="49"/>
  </w:num>
  <w:num w:numId="31">
    <w:abstractNumId w:val="48"/>
  </w:num>
  <w:num w:numId="32">
    <w:abstractNumId w:val="4"/>
  </w:num>
  <w:num w:numId="33">
    <w:abstractNumId w:val="41"/>
  </w:num>
  <w:num w:numId="34">
    <w:abstractNumId w:val="43"/>
  </w:num>
  <w:num w:numId="35">
    <w:abstractNumId w:val="35"/>
  </w:num>
  <w:num w:numId="36">
    <w:abstractNumId w:val="16"/>
  </w:num>
  <w:num w:numId="37">
    <w:abstractNumId w:val="32"/>
  </w:num>
  <w:num w:numId="38">
    <w:abstractNumId w:val="25"/>
  </w:num>
  <w:num w:numId="39">
    <w:abstractNumId w:val="50"/>
  </w:num>
  <w:num w:numId="40">
    <w:abstractNumId w:val="22"/>
  </w:num>
  <w:num w:numId="41">
    <w:abstractNumId w:val="6"/>
  </w:num>
  <w:num w:numId="42">
    <w:abstractNumId w:val="27"/>
  </w:num>
  <w:num w:numId="43">
    <w:abstractNumId w:val="0"/>
  </w:num>
  <w:num w:numId="44">
    <w:abstractNumId w:val="28"/>
  </w:num>
  <w:num w:numId="45">
    <w:abstractNumId w:val="2"/>
  </w:num>
  <w:num w:numId="46">
    <w:abstractNumId w:val="40"/>
  </w:num>
  <w:num w:numId="47">
    <w:abstractNumId w:val="51"/>
  </w:num>
  <w:num w:numId="48">
    <w:abstractNumId w:val="44"/>
  </w:num>
  <w:num w:numId="49">
    <w:abstractNumId w:val="9"/>
  </w:num>
  <w:num w:numId="50">
    <w:abstractNumId w:val="42"/>
  </w:num>
  <w:num w:numId="51">
    <w:abstractNumId w:val="3"/>
  </w:num>
  <w:num w:numId="52">
    <w:abstractNumId w:val="47"/>
  </w:num>
  <w:num w:numId="53">
    <w:abstractNumId w:val="38"/>
  </w:num>
  <w:num w:numId="54">
    <w:abstractNumId w:val="26"/>
  </w:num>
  <w:num w:numId="55">
    <w:abstractNumId w:val="36"/>
  </w:num>
  <w:num w:numId="56">
    <w:abstractNumId w:val="45"/>
  </w:num>
  <w:num w:numId="57">
    <w:abstractNumId w:val="13"/>
  </w:num>
  <w:num w:numId="5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28BD"/>
    <w:rsid w:val="00003E20"/>
    <w:rsid w:val="00004154"/>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BCD"/>
    <w:rsid w:val="00015F98"/>
    <w:rsid w:val="000166AC"/>
    <w:rsid w:val="00017B7F"/>
    <w:rsid w:val="00017EDA"/>
    <w:rsid w:val="0002117D"/>
    <w:rsid w:val="000212A5"/>
    <w:rsid w:val="00021468"/>
    <w:rsid w:val="00022B8C"/>
    <w:rsid w:val="00023742"/>
    <w:rsid w:val="00023AAA"/>
    <w:rsid w:val="000248A3"/>
    <w:rsid w:val="00024AEF"/>
    <w:rsid w:val="00026776"/>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968"/>
    <w:rsid w:val="00044CFA"/>
    <w:rsid w:val="000459C7"/>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56BFD"/>
    <w:rsid w:val="00060D8E"/>
    <w:rsid w:val="00062159"/>
    <w:rsid w:val="00063D9E"/>
    <w:rsid w:val="00064AD3"/>
    <w:rsid w:val="00065088"/>
    <w:rsid w:val="000652D3"/>
    <w:rsid w:val="000654A0"/>
    <w:rsid w:val="00065E94"/>
    <w:rsid w:val="00066D9C"/>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BA8"/>
    <w:rsid w:val="00081EC2"/>
    <w:rsid w:val="00081EF3"/>
    <w:rsid w:val="00082154"/>
    <w:rsid w:val="00082D02"/>
    <w:rsid w:val="00083800"/>
    <w:rsid w:val="00084648"/>
    <w:rsid w:val="00084A65"/>
    <w:rsid w:val="0008559A"/>
    <w:rsid w:val="000902C2"/>
    <w:rsid w:val="00091531"/>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6CA5"/>
    <w:rsid w:val="000A7BC5"/>
    <w:rsid w:val="000B06AB"/>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4B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4496"/>
    <w:rsid w:val="000D584F"/>
    <w:rsid w:val="000D76BC"/>
    <w:rsid w:val="000D7750"/>
    <w:rsid w:val="000D7F54"/>
    <w:rsid w:val="000E071E"/>
    <w:rsid w:val="000E0DEE"/>
    <w:rsid w:val="000E181D"/>
    <w:rsid w:val="000E27AA"/>
    <w:rsid w:val="000E2E2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836"/>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4B0F"/>
    <w:rsid w:val="001068D2"/>
    <w:rsid w:val="001069F2"/>
    <w:rsid w:val="0010760B"/>
    <w:rsid w:val="0010769C"/>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3CD"/>
    <w:rsid w:val="00132830"/>
    <w:rsid w:val="00132B71"/>
    <w:rsid w:val="0013427A"/>
    <w:rsid w:val="001348FE"/>
    <w:rsid w:val="00134B36"/>
    <w:rsid w:val="00134D55"/>
    <w:rsid w:val="001356C1"/>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60D"/>
    <w:rsid w:val="00156ABA"/>
    <w:rsid w:val="00157390"/>
    <w:rsid w:val="00160998"/>
    <w:rsid w:val="00160CD6"/>
    <w:rsid w:val="00160F5F"/>
    <w:rsid w:val="00162308"/>
    <w:rsid w:val="0016316A"/>
    <w:rsid w:val="0016381F"/>
    <w:rsid w:val="00163D1D"/>
    <w:rsid w:val="00164171"/>
    <w:rsid w:val="00164659"/>
    <w:rsid w:val="00164E58"/>
    <w:rsid w:val="00165033"/>
    <w:rsid w:val="001657F7"/>
    <w:rsid w:val="0016598A"/>
    <w:rsid w:val="001665EB"/>
    <w:rsid w:val="00166A10"/>
    <w:rsid w:val="001670EA"/>
    <w:rsid w:val="00167337"/>
    <w:rsid w:val="001674A0"/>
    <w:rsid w:val="00170A50"/>
    <w:rsid w:val="00174FFD"/>
    <w:rsid w:val="001759CA"/>
    <w:rsid w:val="00177119"/>
    <w:rsid w:val="0017726A"/>
    <w:rsid w:val="00177B09"/>
    <w:rsid w:val="00177DD3"/>
    <w:rsid w:val="00180278"/>
    <w:rsid w:val="001807F2"/>
    <w:rsid w:val="001818A7"/>
    <w:rsid w:val="00182725"/>
    <w:rsid w:val="001829C8"/>
    <w:rsid w:val="00186904"/>
    <w:rsid w:val="00186B0A"/>
    <w:rsid w:val="001905BD"/>
    <w:rsid w:val="001908BF"/>
    <w:rsid w:val="001922AF"/>
    <w:rsid w:val="00192FE6"/>
    <w:rsid w:val="0019360B"/>
    <w:rsid w:val="00193986"/>
    <w:rsid w:val="00193B08"/>
    <w:rsid w:val="00194570"/>
    <w:rsid w:val="00196BF4"/>
    <w:rsid w:val="001972DA"/>
    <w:rsid w:val="001976AA"/>
    <w:rsid w:val="001A02F6"/>
    <w:rsid w:val="001A15C6"/>
    <w:rsid w:val="001A2077"/>
    <w:rsid w:val="001A2DB7"/>
    <w:rsid w:val="001A5510"/>
    <w:rsid w:val="001A5C7B"/>
    <w:rsid w:val="001A5E19"/>
    <w:rsid w:val="001A63D8"/>
    <w:rsid w:val="001B01FA"/>
    <w:rsid w:val="001B0832"/>
    <w:rsid w:val="001B18A7"/>
    <w:rsid w:val="001B2762"/>
    <w:rsid w:val="001B36FC"/>
    <w:rsid w:val="001B41ED"/>
    <w:rsid w:val="001B4607"/>
    <w:rsid w:val="001B482F"/>
    <w:rsid w:val="001B51BF"/>
    <w:rsid w:val="001B693B"/>
    <w:rsid w:val="001B7E0C"/>
    <w:rsid w:val="001C0674"/>
    <w:rsid w:val="001C1405"/>
    <w:rsid w:val="001C1B93"/>
    <w:rsid w:val="001C226F"/>
    <w:rsid w:val="001C44F5"/>
    <w:rsid w:val="001C5296"/>
    <w:rsid w:val="001C57E1"/>
    <w:rsid w:val="001C66AC"/>
    <w:rsid w:val="001C674E"/>
    <w:rsid w:val="001C6754"/>
    <w:rsid w:val="001C77F0"/>
    <w:rsid w:val="001D0ABE"/>
    <w:rsid w:val="001D0E20"/>
    <w:rsid w:val="001D30C9"/>
    <w:rsid w:val="001D32DB"/>
    <w:rsid w:val="001D445B"/>
    <w:rsid w:val="001D46A0"/>
    <w:rsid w:val="001D50C2"/>
    <w:rsid w:val="001D522C"/>
    <w:rsid w:val="001D753C"/>
    <w:rsid w:val="001D7CA4"/>
    <w:rsid w:val="001D7E58"/>
    <w:rsid w:val="001E0204"/>
    <w:rsid w:val="001E13B3"/>
    <w:rsid w:val="001E30A0"/>
    <w:rsid w:val="001E3DE1"/>
    <w:rsid w:val="001E4D4F"/>
    <w:rsid w:val="001E543E"/>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0AA"/>
    <w:rsid w:val="001F51C5"/>
    <w:rsid w:val="001F53EC"/>
    <w:rsid w:val="001F65B0"/>
    <w:rsid w:val="001F67AA"/>
    <w:rsid w:val="001F6AFD"/>
    <w:rsid w:val="001F738D"/>
    <w:rsid w:val="001F7494"/>
    <w:rsid w:val="001F7599"/>
    <w:rsid w:val="0020086A"/>
    <w:rsid w:val="00204A2A"/>
    <w:rsid w:val="00204B22"/>
    <w:rsid w:val="00204B3A"/>
    <w:rsid w:val="0020535A"/>
    <w:rsid w:val="002055CB"/>
    <w:rsid w:val="002059EF"/>
    <w:rsid w:val="00205BDB"/>
    <w:rsid w:val="00206955"/>
    <w:rsid w:val="00206A79"/>
    <w:rsid w:val="002078A8"/>
    <w:rsid w:val="00210309"/>
    <w:rsid w:val="00211519"/>
    <w:rsid w:val="00211BE2"/>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677E"/>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2AE8"/>
    <w:rsid w:val="00273177"/>
    <w:rsid w:val="0027455B"/>
    <w:rsid w:val="00275074"/>
    <w:rsid w:val="00275BD1"/>
    <w:rsid w:val="002763E9"/>
    <w:rsid w:val="00276736"/>
    <w:rsid w:val="00276F4E"/>
    <w:rsid w:val="0027717E"/>
    <w:rsid w:val="0027773D"/>
    <w:rsid w:val="002801D1"/>
    <w:rsid w:val="002815FA"/>
    <w:rsid w:val="002824C2"/>
    <w:rsid w:val="00283E09"/>
    <w:rsid w:val="00284E32"/>
    <w:rsid w:val="002851EB"/>
    <w:rsid w:val="00285510"/>
    <w:rsid w:val="00285BD1"/>
    <w:rsid w:val="00285DE2"/>
    <w:rsid w:val="002860AE"/>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300FC"/>
    <w:rsid w:val="00330187"/>
    <w:rsid w:val="00331A6F"/>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4D7"/>
    <w:rsid w:val="00356C0B"/>
    <w:rsid w:val="00357B9C"/>
    <w:rsid w:val="00361412"/>
    <w:rsid w:val="003615CA"/>
    <w:rsid w:val="00363B2C"/>
    <w:rsid w:val="003642A6"/>
    <w:rsid w:val="00364763"/>
    <w:rsid w:val="00365C3D"/>
    <w:rsid w:val="00366C1B"/>
    <w:rsid w:val="00367337"/>
    <w:rsid w:val="00367367"/>
    <w:rsid w:val="00367FD8"/>
    <w:rsid w:val="0037004E"/>
    <w:rsid w:val="003707EB"/>
    <w:rsid w:val="00370B63"/>
    <w:rsid w:val="00370FCC"/>
    <w:rsid w:val="003711AF"/>
    <w:rsid w:val="003735C6"/>
    <w:rsid w:val="00374848"/>
    <w:rsid w:val="003757A1"/>
    <w:rsid w:val="00375D09"/>
    <w:rsid w:val="003762DC"/>
    <w:rsid w:val="00376E3A"/>
    <w:rsid w:val="0037739D"/>
    <w:rsid w:val="0037751C"/>
    <w:rsid w:val="00377F32"/>
    <w:rsid w:val="00377FC3"/>
    <w:rsid w:val="00380B66"/>
    <w:rsid w:val="00380F3F"/>
    <w:rsid w:val="00381953"/>
    <w:rsid w:val="00382232"/>
    <w:rsid w:val="00382F1A"/>
    <w:rsid w:val="00383282"/>
    <w:rsid w:val="00383422"/>
    <w:rsid w:val="00383658"/>
    <w:rsid w:val="0038412E"/>
    <w:rsid w:val="00386053"/>
    <w:rsid w:val="00386088"/>
    <w:rsid w:val="003862B9"/>
    <w:rsid w:val="0038771D"/>
    <w:rsid w:val="00390935"/>
    <w:rsid w:val="00390971"/>
    <w:rsid w:val="00392491"/>
    <w:rsid w:val="003935B0"/>
    <w:rsid w:val="00393E44"/>
    <w:rsid w:val="00394301"/>
    <w:rsid w:val="0039747B"/>
    <w:rsid w:val="00397AB6"/>
    <w:rsid w:val="00397ACA"/>
    <w:rsid w:val="003A10C3"/>
    <w:rsid w:val="003A2DAA"/>
    <w:rsid w:val="003A495D"/>
    <w:rsid w:val="003A4A40"/>
    <w:rsid w:val="003A4C7C"/>
    <w:rsid w:val="003A5611"/>
    <w:rsid w:val="003A5844"/>
    <w:rsid w:val="003A597F"/>
    <w:rsid w:val="003A5D6D"/>
    <w:rsid w:val="003A71A8"/>
    <w:rsid w:val="003A71D2"/>
    <w:rsid w:val="003A78E6"/>
    <w:rsid w:val="003B00CA"/>
    <w:rsid w:val="003B030B"/>
    <w:rsid w:val="003B0432"/>
    <w:rsid w:val="003B0821"/>
    <w:rsid w:val="003B0BE9"/>
    <w:rsid w:val="003B0F4B"/>
    <w:rsid w:val="003B1DCF"/>
    <w:rsid w:val="003B20E5"/>
    <w:rsid w:val="003B2E9B"/>
    <w:rsid w:val="003B2F8D"/>
    <w:rsid w:val="003B3475"/>
    <w:rsid w:val="003B3524"/>
    <w:rsid w:val="003B3C64"/>
    <w:rsid w:val="003B4FAA"/>
    <w:rsid w:val="003B547A"/>
    <w:rsid w:val="003B6EC0"/>
    <w:rsid w:val="003B6F24"/>
    <w:rsid w:val="003B75B9"/>
    <w:rsid w:val="003C087B"/>
    <w:rsid w:val="003C0DA2"/>
    <w:rsid w:val="003C1A18"/>
    <w:rsid w:val="003C249D"/>
    <w:rsid w:val="003C3676"/>
    <w:rsid w:val="003C39B7"/>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008"/>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4371"/>
    <w:rsid w:val="003F5547"/>
    <w:rsid w:val="003F5C40"/>
    <w:rsid w:val="003F6E12"/>
    <w:rsid w:val="003F6F8B"/>
    <w:rsid w:val="003F75ED"/>
    <w:rsid w:val="003F7B42"/>
    <w:rsid w:val="003F7BD5"/>
    <w:rsid w:val="004002B7"/>
    <w:rsid w:val="00400F31"/>
    <w:rsid w:val="004023BA"/>
    <w:rsid w:val="00406B4D"/>
    <w:rsid w:val="0040702A"/>
    <w:rsid w:val="00407C21"/>
    <w:rsid w:val="0041443C"/>
    <w:rsid w:val="0041488F"/>
    <w:rsid w:val="004154F7"/>
    <w:rsid w:val="00416D44"/>
    <w:rsid w:val="004176FF"/>
    <w:rsid w:val="00417A1E"/>
    <w:rsid w:val="00420523"/>
    <w:rsid w:val="004207B3"/>
    <w:rsid w:val="00421A27"/>
    <w:rsid w:val="00421D0A"/>
    <w:rsid w:val="004226C3"/>
    <w:rsid w:val="004241C5"/>
    <w:rsid w:val="00424FA7"/>
    <w:rsid w:val="00425D2C"/>
    <w:rsid w:val="00426A87"/>
    <w:rsid w:val="00427007"/>
    <w:rsid w:val="004309D8"/>
    <w:rsid w:val="004313D1"/>
    <w:rsid w:val="00432110"/>
    <w:rsid w:val="004328EE"/>
    <w:rsid w:val="00432995"/>
    <w:rsid w:val="00433884"/>
    <w:rsid w:val="00433EBE"/>
    <w:rsid w:val="004343A9"/>
    <w:rsid w:val="00434406"/>
    <w:rsid w:val="00435578"/>
    <w:rsid w:val="00440FED"/>
    <w:rsid w:val="00441B92"/>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32"/>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239"/>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691"/>
    <w:rsid w:val="004C0C49"/>
    <w:rsid w:val="004C1096"/>
    <w:rsid w:val="004C183D"/>
    <w:rsid w:val="004C394F"/>
    <w:rsid w:val="004C3EC7"/>
    <w:rsid w:val="004C3EEE"/>
    <w:rsid w:val="004C43CB"/>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C7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042"/>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2D14"/>
    <w:rsid w:val="00533114"/>
    <w:rsid w:val="0053311D"/>
    <w:rsid w:val="00533B93"/>
    <w:rsid w:val="005340C9"/>
    <w:rsid w:val="00536698"/>
    <w:rsid w:val="005375FE"/>
    <w:rsid w:val="00540BC4"/>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47D0E"/>
    <w:rsid w:val="00550B8A"/>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113F"/>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6109"/>
    <w:rsid w:val="00576637"/>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4D5"/>
    <w:rsid w:val="005A3943"/>
    <w:rsid w:val="005A4904"/>
    <w:rsid w:val="005A515A"/>
    <w:rsid w:val="005A5D1A"/>
    <w:rsid w:val="005A704D"/>
    <w:rsid w:val="005A74A6"/>
    <w:rsid w:val="005B0599"/>
    <w:rsid w:val="005B0664"/>
    <w:rsid w:val="005B122A"/>
    <w:rsid w:val="005B3C6D"/>
    <w:rsid w:val="005B4045"/>
    <w:rsid w:val="005B609E"/>
    <w:rsid w:val="005B6DF6"/>
    <w:rsid w:val="005B7B7D"/>
    <w:rsid w:val="005C1948"/>
    <w:rsid w:val="005C22F9"/>
    <w:rsid w:val="005C263C"/>
    <w:rsid w:val="005C2679"/>
    <w:rsid w:val="005C298C"/>
    <w:rsid w:val="005C302B"/>
    <w:rsid w:val="005C459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2E7"/>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B6E"/>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0FFA"/>
    <w:rsid w:val="006310AE"/>
    <w:rsid w:val="00631762"/>
    <w:rsid w:val="00632196"/>
    <w:rsid w:val="006324D0"/>
    <w:rsid w:val="00632BA2"/>
    <w:rsid w:val="00633213"/>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2"/>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57BBF"/>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6CD8"/>
    <w:rsid w:val="006775A9"/>
    <w:rsid w:val="00677925"/>
    <w:rsid w:val="006779BF"/>
    <w:rsid w:val="00680F46"/>
    <w:rsid w:val="00681FDC"/>
    <w:rsid w:val="00682B53"/>
    <w:rsid w:val="00682F27"/>
    <w:rsid w:val="00683C4F"/>
    <w:rsid w:val="006859DB"/>
    <w:rsid w:val="0068678D"/>
    <w:rsid w:val="00687488"/>
    <w:rsid w:val="00687C10"/>
    <w:rsid w:val="006904ED"/>
    <w:rsid w:val="00690E2E"/>
    <w:rsid w:val="006915D7"/>
    <w:rsid w:val="00692814"/>
    <w:rsid w:val="00692B99"/>
    <w:rsid w:val="006932E7"/>
    <w:rsid w:val="0069333B"/>
    <w:rsid w:val="00693347"/>
    <w:rsid w:val="0069334C"/>
    <w:rsid w:val="0069389E"/>
    <w:rsid w:val="00696D63"/>
    <w:rsid w:val="006A032F"/>
    <w:rsid w:val="006A0DD3"/>
    <w:rsid w:val="006A11F4"/>
    <w:rsid w:val="006A146E"/>
    <w:rsid w:val="006A1BEB"/>
    <w:rsid w:val="006A3022"/>
    <w:rsid w:val="006A41AE"/>
    <w:rsid w:val="006A4856"/>
    <w:rsid w:val="006A5474"/>
    <w:rsid w:val="006A564B"/>
    <w:rsid w:val="006B05B5"/>
    <w:rsid w:val="006B1545"/>
    <w:rsid w:val="006B23B9"/>
    <w:rsid w:val="006B2B8C"/>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3C9F"/>
    <w:rsid w:val="0072490A"/>
    <w:rsid w:val="00724B64"/>
    <w:rsid w:val="0072517D"/>
    <w:rsid w:val="00726878"/>
    <w:rsid w:val="00727B70"/>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38F5"/>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61CD"/>
    <w:rsid w:val="00787051"/>
    <w:rsid w:val="0079018D"/>
    <w:rsid w:val="007901DC"/>
    <w:rsid w:val="00791A00"/>
    <w:rsid w:val="00791DDB"/>
    <w:rsid w:val="00792CEE"/>
    <w:rsid w:val="007936A8"/>
    <w:rsid w:val="007944C4"/>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1AB9"/>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C7EA0"/>
    <w:rsid w:val="007D05B2"/>
    <w:rsid w:val="007D05FA"/>
    <w:rsid w:val="007D0C44"/>
    <w:rsid w:val="007D1972"/>
    <w:rsid w:val="007D1F33"/>
    <w:rsid w:val="007D3307"/>
    <w:rsid w:val="007D49AF"/>
    <w:rsid w:val="007D5357"/>
    <w:rsid w:val="007D54F8"/>
    <w:rsid w:val="007D5C80"/>
    <w:rsid w:val="007D5E27"/>
    <w:rsid w:val="007D6F64"/>
    <w:rsid w:val="007E1782"/>
    <w:rsid w:val="007E22AE"/>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42A0"/>
    <w:rsid w:val="00804DF4"/>
    <w:rsid w:val="008055A9"/>
    <w:rsid w:val="00807228"/>
    <w:rsid w:val="0080742D"/>
    <w:rsid w:val="008100AC"/>
    <w:rsid w:val="00810C05"/>
    <w:rsid w:val="0081151E"/>
    <w:rsid w:val="0081176C"/>
    <w:rsid w:val="00812498"/>
    <w:rsid w:val="008127E6"/>
    <w:rsid w:val="0081295E"/>
    <w:rsid w:val="0081336E"/>
    <w:rsid w:val="00813928"/>
    <w:rsid w:val="008154EC"/>
    <w:rsid w:val="00817158"/>
    <w:rsid w:val="0081757E"/>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59D"/>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4C5"/>
    <w:rsid w:val="008659FB"/>
    <w:rsid w:val="008663E4"/>
    <w:rsid w:val="0086709D"/>
    <w:rsid w:val="00867651"/>
    <w:rsid w:val="00867B5A"/>
    <w:rsid w:val="00871072"/>
    <w:rsid w:val="008732D9"/>
    <w:rsid w:val="00874009"/>
    <w:rsid w:val="00874158"/>
    <w:rsid w:val="008743F3"/>
    <w:rsid w:val="0087444A"/>
    <w:rsid w:val="00875139"/>
    <w:rsid w:val="00875410"/>
    <w:rsid w:val="0087562F"/>
    <w:rsid w:val="00880EDF"/>
    <w:rsid w:val="008811FD"/>
    <w:rsid w:val="00882DE6"/>
    <w:rsid w:val="00883A20"/>
    <w:rsid w:val="00883D4D"/>
    <w:rsid w:val="00884A1F"/>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6AD1"/>
    <w:rsid w:val="0089716F"/>
    <w:rsid w:val="00897C71"/>
    <w:rsid w:val="008A0F54"/>
    <w:rsid w:val="008A113F"/>
    <w:rsid w:val="008A14F1"/>
    <w:rsid w:val="008A16F9"/>
    <w:rsid w:val="008A1746"/>
    <w:rsid w:val="008A1D3E"/>
    <w:rsid w:val="008A3038"/>
    <w:rsid w:val="008A4B16"/>
    <w:rsid w:val="008A4D63"/>
    <w:rsid w:val="008A4E11"/>
    <w:rsid w:val="008A6674"/>
    <w:rsid w:val="008A6D62"/>
    <w:rsid w:val="008A72C2"/>
    <w:rsid w:val="008B13E9"/>
    <w:rsid w:val="008B2257"/>
    <w:rsid w:val="008B2436"/>
    <w:rsid w:val="008B3B51"/>
    <w:rsid w:val="008B4057"/>
    <w:rsid w:val="008B4145"/>
    <w:rsid w:val="008B5071"/>
    <w:rsid w:val="008B5290"/>
    <w:rsid w:val="008B6A40"/>
    <w:rsid w:val="008B72EC"/>
    <w:rsid w:val="008C0674"/>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1F3"/>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3EA"/>
    <w:rsid w:val="00934D97"/>
    <w:rsid w:val="00935B47"/>
    <w:rsid w:val="00935D15"/>
    <w:rsid w:val="00940FF0"/>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671C"/>
    <w:rsid w:val="00967354"/>
    <w:rsid w:val="009676A5"/>
    <w:rsid w:val="00971592"/>
    <w:rsid w:val="00971617"/>
    <w:rsid w:val="00971DDF"/>
    <w:rsid w:val="0097225C"/>
    <w:rsid w:val="009731D6"/>
    <w:rsid w:val="00973B49"/>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5C57"/>
    <w:rsid w:val="009A6919"/>
    <w:rsid w:val="009A6AC7"/>
    <w:rsid w:val="009B001E"/>
    <w:rsid w:val="009B0408"/>
    <w:rsid w:val="009B0427"/>
    <w:rsid w:val="009B0843"/>
    <w:rsid w:val="009B0B71"/>
    <w:rsid w:val="009B0DEE"/>
    <w:rsid w:val="009B1335"/>
    <w:rsid w:val="009B176D"/>
    <w:rsid w:val="009B1E47"/>
    <w:rsid w:val="009B2CED"/>
    <w:rsid w:val="009B3054"/>
    <w:rsid w:val="009B335D"/>
    <w:rsid w:val="009B3C90"/>
    <w:rsid w:val="009B71DF"/>
    <w:rsid w:val="009B76E3"/>
    <w:rsid w:val="009B7A72"/>
    <w:rsid w:val="009B7BB8"/>
    <w:rsid w:val="009C00D3"/>
    <w:rsid w:val="009C02E9"/>
    <w:rsid w:val="009C0AAC"/>
    <w:rsid w:val="009C0D90"/>
    <w:rsid w:val="009C0E9B"/>
    <w:rsid w:val="009C126A"/>
    <w:rsid w:val="009C1D4C"/>
    <w:rsid w:val="009C2DD2"/>
    <w:rsid w:val="009C3982"/>
    <w:rsid w:val="009C441F"/>
    <w:rsid w:val="009C4A07"/>
    <w:rsid w:val="009C4B8E"/>
    <w:rsid w:val="009C51D5"/>
    <w:rsid w:val="009C543C"/>
    <w:rsid w:val="009C599A"/>
    <w:rsid w:val="009C5BAE"/>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1F60"/>
    <w:rsid w:val="009F2A19"/>
    <w:rsid w:val="009F2A90"/>
    <w:rsid w:val="009F514E"/>
    <w:rsid w:val="009F7867"/>
    <w:rsid w:val="009F7D66"/>
    <w:rsid w:val="00A0069B"/>
    <w:rsid w:val="00A00BD2"/>
    <w:rsid w:val="00A00E56"/>
    <w:rsid w:val="00A027F3"/>
    <w:rsid w:val="00A02C66"/>
    <w:rsid w:val="00A03978"/>
    <w:rsid w:val="00A03AB1"/>
    <w:rsid w:val="00A04D7E"/>
    <w:rsid w:val="00A051D9"/>
    <w:rsid w:val="00A052EC"/>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1295"/>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776"/>
    <w:rsid w:val="00A343A8"/>
    <w:rsid w:val="00A344A5"/>
    <w:rsid w:val="00A34647"/>
    <w:rsid w:val="00A346C3"/>
    <w:rsid w:val="00A34D4A"/>
    <w:rsid w:val="00A36155"/>
    <w:rsid w:val="00A3629E"/>
    <w:rsid w:val="00A365AD"/>
    <w:rsid w:val="00A373FE"/>
    <w:rsid w:val="00A411AB"/>
    <w:rsid w:val="00A42A85"/>
    <w:rsid w:val="00A42D07"/>
    <w:rsid w:val="00A44B43"/>
    <w:rsid w:val="00A44EDF"/>
    <w:rsid w:val="00A4503E"/>
    <w:rsid w:val="00A450C0"/>
    <w:rsid w:val="00A45468"/>
    <w:rsid w:val="00A45918"/>
    <w:rsid w:val="00A466EE"/>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7D2"/>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3BC"/>
    <w:rsid w:val="00A80969"/>
    <w:rsid w:val="00A8264D"/>
    <w:rsid w:val="00A856B8"/>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25"/>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1F8F"/>
    <w:rsid w:val="00AC25A2"/>
    <w:rsid w:val="00AC3D06"/>
    <w:rsid w:val="00AC429F"/>
    <w:rsid w:val="00AC5029"/>
    <w:rsid w:val="00AC60B4"/>
    <w:rsid w:val="00AC6655"/>
    <w:rsid w:val="00AC67B6"/>
    <w:rsid w:val="00AC7D98"/>
    <w:rsid w:val="00AD00C5"/>
    <w:rsid w:val="00AD165F"/>
    <w:rsid w:val="00AD2794"/>
    <w:rsid w:val="00AD2DC5"/>
    <w:rsid w:val="00AD3455"/>
    <w:rsid w:val="00AD3CAD"/>
    <w:rsid w:val="00AD5A99"/>
    <w:rsid w:val="00AD69FF"/>
    <w:rsid w:val="00AD702B"/>
    <w:rsid w:val="00AD72C0"/>
    <w:rsid w:val="00AD72E6"/>
    <w:rsid w:val="00AD7757"/>
    <w:rsid w:val="00AD7C95"/>
    <w:rsid w:val="00AD7FCD"/>
    <w:rsid w:val="00AE10B9"/>
    <w:rsid w:val="00AE2BED"/>
    <w:rsid w:val="00AE3DE1"/>
    <w:rsid w:val="00AE5439"/>
    <w:rsid w:val="00AE61B2"/>
    <w:rsid w:val="00AE6D96"/>
    <w:rsid w:val="00AE7785"/>
    <w:rsid w:val="00AE78D1"/>
    <w:rsid w:val="00AE7F89"/>
    <w:rsid w:val="00AF23EC"/>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3E3B"/>
    <w:rsid w:val="00B04048"/>
    <w:rsid w:val="00B04F3D"/>
    <w:rsid w:val="00B05702"/>
    <w:rsid w:val="00B06DD9"/>
    <w:rsid w:val="00B07CD6"/>
    <w:rsid w:val="00B07E52"/>
    <w:rsid w:val="00B10010"/>
    <w:rsid w:val="00B11775"/>
    <w:rsid w:val="00B12F75"/>
    <w:rsid w:val="00B1302D"/>
    <w:rsid w:val="00B1513F"/>
    <w:rsid w:val="00B15505"/>
    <w:rsid w:val="00B15926"/>
    <w:rsid w:val="00B15B89"/>
    <w:rsid w:val="00B16454"/>
    <w:rsid w:val="00B1746F"/>
    <w:rsid w:val="00B20725"/>
    <w:rsid w:val="00B2087E"/>
    <w:rsid w:val="00B20B11"/>
    <w:rsid w:val="00B20B94"/>
    <w:rsid w:val="00B22ABA"/>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577F5"/>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C7FA7"/>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1898"/>
    <w:rsid w:val="00BE28C1"/>
    <w:rsid w:val="00BE318B"/>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B0B"/>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3C63"/>
    <w:rsid w:val="00C348D6"/>
    <w:rsid w:val="00C3504C"/>
    <w:rsid w:val="00C365E7"/>
    <w:rsid w:val="00C36E34"/>
    <w:rsid w:val="00C37EBE"/>
    <w:rsid w:val="00C40388"/>
    <w:rsid w:val="00C404D7"/>
    <w:rsid w:val="00C404EE"/>
    <w:rsid w:val="00C40DC7"/>
    <w:rsid w:val="00C4171B"/>
    <w:rsid w:val="00C42689"/>
    <w:rsid w:val="00C42988"/>
    <w:rsid w:val="00C42BD4"/>
    <w:rsid w:val="00C43395"/>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70084"/>
    <w:rsid w:val="00C7090B"/>
    <w:rsid w:val="00C7235B"/>
    <w:rsid w:val="00C7292A"/>
    <w:rsid w:val="00C72A39"/>
    <w:rsid w:val="00C72E18"/>
    <w:rsid w:val="00C731AD"/>
    <w:rsid w:val="00C7380B"/>
    <w:rsid w:val="00C74421"/>
    <w:rsid w:val="00C75F2F"/>
    <w:rsid w:val="00C75FEE"/>
    <w:rsid w:val="00C76F1D"/>
    <w:rsid w:val="00C772DF"/>
    <w:rsid w:val="00C77937"/>
    <w:rsid w:val="00C77CA4"/>
    <w:rsid w:val="00C77D26"/>
    <w:rsid w:val="00C80BDF"/>
    <w:rsid w:val="00C815DF"/>
    <w:rsid w:val="00C81819"/>
    <w:rsid w:val="00C829CB"/>
    <w:rsid w:val="00C82FEE"/>
    <w:rsid w:val="00C84D39"/>
    <w:rsid w:val="00C85277"/>
    <w:rsid w:val="00C85806"/>
    <w:rsid w:val="00C85D76"/>
    <w:rsid w:val="00C873AC"/>
    <w:rsid w:val="00C87DA6"/>
    <w:rsid w:val="00C91507"/>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3BAB"/>
    <w:rsid w:val="00CA4F8B"/>
    <w:rsid w:val="00CA5445"/>
    <w:rsid w:val="00CA781C"/>
    <w:rsid w:val="00CB00B2"/>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2B7B"/>
    <w:rsid w:val="00CC2C08"/>
    <w:rsid w:val="00CC300C"/>
    <w:rsid w:val="00CC35AE"/>
    <w:rsid w:val="00CC3DAA"/>
    <w:rsid w:val="00CC4C2C"/>
    <w:rsid w:val="00CC5057"/>
    <w:rsid w:val="00CC6809"/>
    <w:rsid w:val="00CC6BD9"/>
    <w:rsid w:val="00CD0772"/>
    <w:rsid w:val="00CD078F"/>
    <w:rsid w:val="00CD121E"/>
    <w:rsid w:val="00CD185D"/>
    <w:rsid w:val="00CD1C29"/>
    <w:rsid w:val="00CD28F0"/>
    <w:rsid w:val="00CD29CB"/>
    <w:rsid w:val="00CD30D3"/>
    <w:rsid w:val="00CD3ED8"/>
    <w:rsid w:val="00CD497A"/>
    <w:rsid w:val="00CD761D"/>
    <w:rsid w:val="00CD76B5"/>
    <w:rsid w:val="00CD78B9"/>
    <w:rsid w:val="00CE2323"/>
    <w:rsid w:val="00CE2346"/>
    <w:rsid w:val="00CE63EE"/>
    <w:rsid w:val="00CE6EFA"/>
    <w:rsid w:val="00CE6F0F"/>
    <w:rsid w:val="00CE7EF5"/>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3AC"/>
    <w:rsid w:val="00D064E8"/>
    <w:rsid w:val="00D06546"/>
    <w:rsid w:val="00D06572"/>
    <w:rsid w:val="00D065CD"/>
    <w:rsid w:val="00D11AC9"/>
    <w:rsid w:val="00D12325"/>
    <w:rsid w:val="00D12761"/>
    <w:rsid w:val="00D12E87"/>
    <w:rsid w:val="00D14487"/>
    <w:rsid w:val="00D15E7E"/>
    <w:rsid w:val="00D16058"/>
    <w:rsid w:val="00D16FDD"/>
    <w:rsid w:val="00D1768E"/>
    <w:rsid w:val="00D20016"/>
    <w:rsid w:val="00D207A7"/>
    <w:rsid w:val="00D21D6A"/>
    <w:rsid w:val="00D21E12"/>
    <w:rsid w:val="00D2279F"/>
    <w:rsid w:val="00D22AF1"/>
    <w:rsid w:val="00D22E93"/>
    <w:rsid w:val="00D24276"/>
    <w:rsid w:val="00D242DA"/>
    <w:rsid w:val="00D247EC"/>
    <w:rsid w:val="00D24ECF"/>
    <w:rsid w:val="00D26448"/>
    <w:rsid w:val="00D264CE"/>
    <w:rsid w:val="00D26670"/>
    <w:rsid w:val="00D2670E"/>
    <w:rsid w:val="00D26910"/>
    <w:rsid w:val="00D2769C"/>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0A99"/>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201"/>
    <w:rsid w:val="00D61815"/>
    <w:rsid w:val="00D627E3"/>
    <w:rsid w:val="00D62ECD"/>
    <w:rsid w:val="00D64426"/>
    <w:rsid w:val="00D64475"/>
    <w:rsid w:val="00D65D78"/>
    <w:rsid w:val="00D66A45"/>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B37"/>
    <w:rsid w:val="00D94D87"/>
    <w:rsid w:val="00D95B31"/>
    <w:rsid w:val="00D95D62"/>
    <w:rsid w:val="00D95DCC"/>
    <w:rsid w:val="00D962DC"/>
    <w:rsid w:val="00DA14F3"/>
    <w:rsid w:val="00DA180C"/>
    <w:rsid w:val="00DA18A2"/>
    <w:rsid w:val="00DA26B8"/>
    <w:rsid w:val="00DA3E7B"/>
    <w:rsid w:val="00DA3F17"/>
    <w:rsid w:val="00DA418E"/>
    <w:rsid w:val="00DA4336"/>
    <w:rsid w:val="00DA4419"/>
    <w:rsid w:val="00DA451D"/>
    <w:rsid w:val="00DA470D"/>
    <w:rsid w:val="00DA4CC5"/>
    <w:rsid w:val="00DA50A0"/>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6A80"/>
    <w:rsid w:val="00DB6C06"/>
    <w:rsid w:val="00DB7437"/>
    <w:rsid w:val="00DB7B06"/>
    <w:rsid w:val="00DC043D"/>
    <w:rsid w:val="00DC2CEC"/>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0E3"/>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52E"/>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3EFA"/>
    <w:rsid w:val="00E74F5D"/>
    <w:rsid w:val="00E76034"/>
    <w:rsid w:val="00E80440"/>
    <w:rsid w:val="00E805F1"/>
    <w:rsid w:val="00E80F89"/>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021C"/>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CE7"/>
    <w:rsid w:val="00ED7FD3"/>
    <w:rsid w:val="00EE0E5D"/>
    <w:rsid w:val="00EE11C2"/>
    <w:rsid w:val="00EE2A61"/>
    <w:rsid w:val="00EE2BBD"/>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3E33"/>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153F"/>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14A6"/>
    <w:rsid w:val="00F52339"/>
    <w:rsid w:val="00F5277A"/>
    <w:rsid w:val="00F532E8"/>
    <w:rsid w:val="00F537FF"/>
    <w:rsid w:val="00F54E36"/>
    <w:rsid w:val="00F560FE"/>
    <w:rsid w:val="00F56A1A"/>
    <w:rsid w:val="00F576BA"/>
    <w:rsid w:val="00F6040B"/>
    <w:rsid w:val="00F60CD6"/>
    <w:rsid w:val="00F6111C"/>
    <w:rsid w:val="00F614C0"/>
    <w:rsid w:val="00F61647"/>
    <w:rsid w:val="00F6299F"/>
    <w:rsid w:val="00F657CF"/>
    <w:rsid w:val="00F65808"/>
    <w:rsid w:val="00F6587D"/>
    <w:rsid w:val="00F66A00"/>
    <w:rsid w:val="00F66CFB"/>
    <w:rsid w:val="00F67EAA"/>
    <w:rsid w:val="00F70C73"/>
    <w:rsid w:val="00F70E78"/>
    <w:rsid w:val="00F713A3"/>
    <w:rsid w:val="00F71A8F"/>
    <w:rsid w:val="00F71F66"/>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2A2B"/>
    <w:rsid w:val="00FA31E7"/>
    <w:rsid w:val="00FA413A"/>
    <w:rsid w:val="00FA4144"/>
    <w:rsid w:val="00FA4DDF"/>
    <w:rsid w:val="00FA645E"/>
    <w:rsid w:val="00FA6E7F"/>
    <w:rsid w:val="00FA7114"/>
    <w:rsid w:val="00FB052D"/>
    <w:rsid w:val="00FB1193"/>
    <w:rsid w:val="00FB22D7"/>
    <w:rsid w:val="00FB2379"/>
    <w:rsid w:val="00FB3CB7"/>
    <w:rsid w:val="00FB461D"/>
    <w:rsid w:val="00FB4B32"/>
    <w:rsid w:val="00FB4B8A"/>
    <w:rsid w:val="00FB5152"/>
    <w:rsid w:val="00FB5F8F"/>
    <w:rsid w:val="00FB680E"/>
    <w:rsid w:val="00FB6B73"/>
    <w:rsid w:val="00FB7A0B"/>
    <w:rsid w:val="00FC0065"/>
    <w:rsid w:val="00FC062F"/>
    <w:rsid w:val="00FC0754"/>
    <w:rsid w:val="00FC1750"/>
    <w:rsid w:val="00FC3AEE"/>
    <w:rsid w:val="00FC58BE"/>
    <w:rsid w:val="00FC6238"/>
    <w:rsid w:val="00FC7951"/>
    <w:rsid w:val="00FC7EAE"/>
    <w:rsid w:val="00FD1747"/>
    <w:rsid w:val="00FD1A38"/>
    <w:rsid w:val="00FD215C"/>
    <w:rsid w:val="00FD236B"/>
    <w:rsid w:val="00FD2785"/>
    <w:rsid w:val="00FD33FC"/>
    <w:rsid w:val="00FD3730"/>
    <w:rsid w:val="00FD37EB"/>
    <w:rsid w:val="00FD398F"/>
    <w:rsid w:val="00FD3ADE"/>
    <w:rsid w:val="00FD3B08"/>
    <w:rsid w:val="00FD4806"/>
    <w:rsid w:val="00FD4BA4"/>
    <w:rsid w:val="00FD4E5F"/>
    <w:rsid w:val="00FD534E"/>
    <w:rsid w:val="00FD56C7"/>
    <w:rsid w:val="00FD5CBB"/>
    <w:rsid w:val="00FD6564"/>
    <w:rsid w:val="00FD6B74"/>
    <w:rsid w:val="00FD70AE"/>
    <w:rsid w:val="00FE002E"/>
    <w:rsid w:val="00FE2398"/>
    <w:rsid w:val="00FE2FB3"/>
    <w:rsid w:val="00FE41F0"/>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6BD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 w:type="character" w:customStyle="1" w:styleId="TANChar">
    <w:name w:val="TAN Char"/>
    <w:link w:val="TAN"/>
    <w:rsid w:val="00FA2A2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880001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642854">
      <w:bodyDiv w:val="1"/>
      <w:marLeft w:val="0"/>
      <w:marRight w:val="0"/>
      <w:marTop w:val="0"/>
      <w:marBottom w:val="0"/>
      <w:divBdr>
        <w:top w:val="none" w:sz="0" w:space="0" w:color="auto"/>
        <w:left w:val="none" w:sz="0" w:space="0" w:color="auto"/>
        <w:bottom w:val="none" w:sz="0" w:space="0" w:color="auto"/>
        <w:right w:val="none" w:sz="0" w:space="0" w:color="auto"/>
      </w:divBdr>
      <w:divsChild>
        <w:div w:id="1946693118">
          <w:marLeft w:val="547"/>
          <w:marRight w:val="0"/>
          <w:marTop w:val="120"/>
          <w:marBottom w:val="120"/>
          <w:divBdr>
            <w:top w:val="none" w:sz="0" w:space="0" w:color="auto"/>
            <w:left w:val="none" w:sz="0" w:space="0" w:color="auto"/>
            <w:bottom w:val="none" w:sz="0" w:space="0" w:color="auto"/>
            <w:right w:val="none" w:sz="0" w:space="0" w:color="auto"/>
          </w:divBdr>
        </w:div>
        <w:div w:id="488636974">
          <w:marLeft w:val="547"/>
          <w:marRight w:val="0"/>
          <w:marTop w:val="120"/>
          <w:marBottom w:val="120"/>
          <w:divBdr>
            <w:top w:val="none" w:sz="0" w:space="0" w:color="auto"/>
            <w:left w:val="none" w:sz="0" w:space="0" w:color="auto"/>
            <w:bottom w:val="none" w:sz="0" w:space="0" w:color="auto"/>
            <w:right w:val="none" w:sz="0" w:space="0" w:color="auto"/>
          </w:divBdr>
        </w:div>
        <w:div w:id="291399408">
          <w:marLeft w:val="547"/>
          <w:marRight w:val="0"/>
          <w:marTop w:val="120"/>
          <w:marBottom w:val="120"/>
          <w:divBdr>
            <w:top w:val="none" w:sz="0" w:space="0" w:color="auto"/>
            <w:left w:val="none" w:sz="0" w:space="0" w:color="auto"/>
            <w:bottom w:val="none" w:sz="0" w:space="0" w:color="auto"/>
            <w:right w:val="none" w:sz="0" w:space="0" w:color="auto"/>
          </w:divBdr>
        </w:div>
        <w:div w:id="839583097">
          <w:marLeft w:val="547"/>
          <w:marRight w:val="0"/>
          <w:marTop w:val="120"/>
          <w:marBottom w:val="120"/>
          <w:divBdr>
            <w:top w:val="none" w:sz="0" w:space="0" w:color="auto"/>
            <w:left w:val="none" w:sz="0" w:space="0" w:color="auto"/>
            <w:bottom w:val="none" w:sz="0" w:space="0" w:color="auto"/>
            <w:right w:val="none" w:sz="0" w:space="0" w:color="auto"/>
          </w:divBdr>
        </w:div>
        <w:div w:id="1138914316">
          <w:marLeft w:val="1166"/>
          <w:marRight w:val="0"/>
          <w:marTop w:val="120"/>
          <w:marBottom w:val="120"/>
          <w:divBdr>
            <w:top w:val="none" w:sz="0" w:space="0" w:color="auto"/>
            <w:left w:val="none" w:sz="0" w:space="0" w:color="auto"/>
            <w:bottom w:val="none" w:sz="0" w:space="0" w:color="auto"/>
            <w:right w:val="none" w:sz="0" w:space="0" w:color="auto"/>
          </w:divBdr>
        </w:div>
        <w:div w:id="1045986185">
          <w:marLeft w:val="1166"/>
          <w:marRight w:val="0"/>
          <w:marTop w:val="120"/>
          <w:marBottom w:val="120"/>
          <w:divBdr>
            <w:top w:val="none" w:sz="0" w:space="0" w:color="auto"/>
            <w:left w:val="none" w:sz="0" w:space="0" w:color="auto"/>
            <w:bottom w:val="none" w:sz="0" w:space="0" w:color="auto"/>
            <w:right w:val="none" w:sz="0" w:space="0" w:color="auto"/>
          </w:divBdr>
        </w:div>
        <w:div w:id="1885288750">
          <w:marLeft w:val="547"/>
          <w:marRight w:val="0"/>
          <w:marTop w:val="120"/>
          <w:marBottom w:val="120"/>
          <w:divBdr>
            <w:top w:val="none" w:sz="0" w:space="0" w:color="auto"/>
            <w:left w:val="none" w:sz="0" w:space="0" w:color="auto"/>
            <w:bottom w:val="none" w:sz="0" w:space="0" w:color="auto"/>
            <w:right w:val="none" w:sz="0" w:space="0" w:color="auto"/>
          </w:divBdr>
        </w:div>
      </w:divsChild>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602088">
      <w:bodyDiv w:val="1"/>
      <w:marLeft w:val="0"/>
      <w:marRight w:val="0"/>
      <w:marTop w:val="0"/>
      <w:marBottom w:val="0"/>
      <w:divBdr>
        <w:top w:val="none" w:sz="0" w:space="0" w:color="auto"/>
        <w:left w:val="none" w:sz="0" w:space="0" w:color="auto"/>
        <w:bottom w:val="none" w:sz="0" w:space="0" w:color="auto"/>
        <w:right w:val="none" w:sz="0" w:space="0" w:color="auto"/>
      </w:divBdr>
      <w:divsChild>
        <w:div w:id="1505700472">
          <w:marLeft w:val="0"/>
          <w:marRight w:val="0"/>
          <w:marTop w:val="0"/>
          <w:marBottom w:val="0"/>
          <w:divBdr>
            <w:top w:val="none" w:sz="0" w:space="0" w:color="auto"/>
            <w:left w:val="none" w:sz="0" w:space="0" w:color="auto"/>
            <w:bottom w:val="none" w:sz="0" w:space="0" w:color="auto"/>
            <w:right w:val="none" w:sz="0" w:space="0" w:color="auto"/>
          </w:divBdr>
          <w:divsChild>
            <w:div w:id="76350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9504510">
      <w:bodyDiv w:val="1"/>
      <w:marLeft w:val="0"/>
      <w:marRight w:val="0"/>
      <w:marTop w:val="0"/>
      <w:marBottom w:val="0"/>
      <w:divBdr>
        <w:top w:val="none" w:sz="0" w:space="0" w:color="auto"/>
        <w:left w:val="none" w:sz="0" w:space="0" w:color="auto"/>
        <w:bottom w:val="none" w:sz="0" w:space="0" w:color="auto"/>
        <w:right w:val="none" w:sz="0" w:space="0" w:color="auto"/>
      </w:divBdr>
      <w:divsChild>
        <w:div w:id="792869120">
          <w:marLeft w:val="0"/>
          <w:marRight w:val="0"/>
          <w:marTop w:val="0"/>
          <w:marBottom w:val="0"/>
          <w:divBdr>
            <w:top w:val="none" w:sz="0" w:space="0" w:color="auto"/>
            <w:left w:val="none" w:sz="0" w:space="0" w:color="auto"/>
            <w:bottom w:val="none" w:sz="0" w:space="0" w:color="auto"/>
            <w:right w:val="none" w:sz="0" w:space="0" w:color="auto"/>
          </w:divBdr>
          <w:divsChild>
            <w:div w:id="134316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1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5768956">
      <w:bodyDiv w:val="1"/>
      <w:marLeft w:val="0"/>
      <w:marRight w:val="0"/>
      <w:marTop w:val="0"/>
      <w:marBottom w:val="0"/>
      <w:divBdr>
        <w:top w:val="none" w:sz="0" w:space="0" w:color="auto"/>
        <w:left w:val="none" w:sz="0" w:space="0" w:color="auto"/>
        <w:bottom w:val="none" w:sz="0" w:space="0" w:color="auto"/>
        <w:right w:val="none" w:sz="0" w:space="0" w:color="auto"/>
      </w:divBdr>
      <w:divsChild>
        <w:div w:id="1856577653">
          <w:marLeft w:val="720"/>
          <w:marRight w:val="0"/>
          <w:marTop w:val="134"/>
          <w:marBottom w:val="0"/>
          <w:divBdr>
            <w:top w:val="none" w:sz="0" w:space="0" w:color="auto"/>
            <w:left w:val="none" w:sz="0" w:space="0" w:color="auto"/>
            <w:bottom w:val="none" w:sz="0" w:space="0" w:color="auto"/>
            <w:right w:val="none" w:sz="0" w:space="0" w:color="auto"/>
          </w:divBdr>
        </w:div>
        <w:div w:id="1964647577">
          <w:marLeft w:val="1440"/>
          <w:marRight w:val="0"/>
          <w:marTop w:val="115"/>
          <w:marBottom w:val="0"/>
          <w:divBdr>
            <w:top w:val="none" w:sz="0" w:space="0" w:color="auto"/>
            <w:left w:val="none" w:sz="0" w:space="0" w:color="auto"/>
            <w:bottom w:val="none" w:sz="0" w:space="0" w:color="auto"/>
            <w:right w:val="none" w:sz="0" w:space="0" w:color="auto"/>
          </w:divBdr>
        </w:div>
        <w:div w:id="691229795">
          <w:marLeft w:val="720"/>
          <w:marRight w:val="0"/>
          <w:marTop w:val="134"/>
          <w:marBottom w:val="0"/>
          <w:divBdr>
            <w:top w:val="none" w:sz="0" w:space="0" w:color="auto"/>
            <w:left w:val="none" w:sz="0" w:space="0" w:color="auto"/>
            <w:bottom w:val="none" w:sz="0" w:space="0" w:color="auto"/>
            <w:right w:val="none" w:sz="0" w:space="0" w:color="auto"/>
          </w:divBdr>
        </w:div>
        <w:div w:id="2000495659">
          <w:marLeft w:val="720"/>
          <w:marRight w:val="0"/>
          <w:marTop w:val="134"/>
          <w:marBottom w:val="0"/>
          <w:divBdr>
            <w:top w:val="none" w:sz="0" w:space="0" w:color="auto"/>
            <w:left w:val="none" w:sz="0" w:space="0" w:color="auto"/>
            <w:bottom w:val="none" w:sz="0" w:space="0" w:color="auto"/>
            <w:right w:val="none" w:sz="0" w:space="0" w:color="auto"/>
          </w:divBdr>
        </w:div>
        <w:div w:id="553736985">
          <w:marLeft w:val="720"/>
          <w:marRight w:val="0"/>
          <w:marTop w:val="134"/>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A096A-1085-4E06-AE64-B6A91F66E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A88B4-DF8D-4AF0-B72C-0C03EE714FFE}">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55ae6c15-9962-46ae-a768-8deca3649a65"/>
    <ds:schemaRef ds:uri="http://schemas.microsoft.com/office/infopath/2007/PartnerControls"/>
    <ds:schemaRef ds:uri="http://purl.org/dc/terms/"/>
    <ds:schemaRef ds:uri="http://www.w3.org/XML/1998/namespace"/>
    <ds:schemaRef ds:uri="http://schemas.microsoft.com/office/2006/metadata/properties"/>
    <ds:schemaRef ds:uri="http://purl.org/dc/elements/1.1/"/>
    <ds:schemaRef ds:uri="71c5aaf6-e6ce-465b-b873-5148d2a4c105"/>
    <ds:schemaRef ds:uri="http://schemas.microsoft.com/office/2006/documentManagement/types"/>
    <ds:schemaRef ds:uri="http://schemas.openxmlformats.org/package/2006/metadata/core-properties"/>
    <ds:schemaRef ds:uri="28d22441-8343-43f8-ac6d-b59b0fa8fca6"/>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FCB61D3-A9E9-41FF-8304-93EBD90B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375</Words>
  <Characters>1884</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2019-10-04T12:45:00Z</dcterms:created>
  <dcterms:modified xsi:type="dcterms:W3CDTF">2019-10-04T12:45:00Z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0x0101002779548D02695F479F904726726C80A8</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